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drawing>
          <wp:anchor distT="0" distB="0" distL="114300" distR="114300" simplePos="0" relativeHeight="251659264" behindDoc="0" locked="0" layoutInCell="1" allowOverlap="1">
            <wp:simplePos x="0" y="0"/>
            <wp:positionH relativeFrom="column">
              <wp:posOffset>-1905</wp:posOffset>
            </wp:positionH>
            <wp:positionV relativeFrom="paragraph">
              <wp:posOffset>85725</wp:posOffset>
            </wp:positionV>
            <wp:extent cx="1852930" cy="2762250"/>
            <wp:effectExtent l="0" t="0" r="0" b="0"/>
            <wp:wrapSquare wrapText="bothSides"/>
            <wp:docPr id="1026" name="图片 5" descr="C:\Users\ADMINI~1\AppData\Local\Temp\WeChat Files\ea49d1347b4034e8d406739fa12a716.jpg"/>
            <wp:cNvGraphicFramePr/>
            <a:graphic xmlns:a="http://schemas.openxmlformats.org/drawingml/2006/main">
              <a:graphicData uri="http://schemas.openxmlformats.org/drawingml/2006/picture">
                <pic:pic xmlns:pic="http://schemas.openxmlformats.org/drawingml/2006/picture">
                  <pic:nvPicPr>
                    <pic:cNvPr id="1026" name="图片 5" descr="C:\Users\ADMINI~1\AppData\Local\Temp\WeChat Files\ea49d1347b4034e8d406739fa12a716.jpg"/>
                    <pic:cNvPicPr/>
                  </pic:nvPicPr>
                  <pic:blipFill>
                    <a:blip r:embed="rId11" cstate="print"/>
                    <a:srcRect l="6440" r="9029" b="14009"/>
                    <a:stretch>
                      <a:fillRect/>
                    </a:stretch>
                  </pic:blipFill>
                  <pic:spPr>
                    <a:xfrm>
                      <a:off x="0" y="0"/>
                      <a:ext cx="1852930" cy="2762250"/>
                    </a:xfrm>
                    <a:prstGeom prst="rect">
                      <a:avLst/>
                    </a:prstGeom>
                    <a:ln>
                      <a:noFill/>
                    </a:ln>
                  </pic:spPr>
                </pic:pic>
              </a:graphicData>
            </a:graphic>
          </wp:anchor>
        </w:drawing>
      </w:r>
      <w:r>
        <w:rPr>
          <w:rFonts w:hint="eastAsia" w:ascii="微软雅黑" w:hAnsi="微软雅黑" w:eastAsia="微软雅黑"/>
          <w:b/>
          <w:sz w:val="28"/>
          <w:szCs w:val="28"/>
          <w:lang w:val="en-US" w:eastAsia="zh-CN"/>
        </w:rPr>
        <w:t xml:space="preserve">姓名 </w:t>
      </w:r>
      <w:r>
        <w:rPr>
          <w:rFonts w:hint="eastAsia" w:ascii="微软雅黑" w:hAnsi="微软雅黑" w:eastAsia="微软雅黑"/>
          <w:b/>
          <w:sz w:val="28"/>
          <w:szCs w:val="28"/>
        </w:rPr>
        <w:t xml:space="preserve">田磊 </w:t>
      </w:r>
      <w:r>
        <w:rPr>
          <w:rFonts w:ascii="微软雅黑" w:hAnsi="微软雅黑" w:eastAsia="微软雅黑"/>
          <w:b/>
          <w:sz w:val="28"/>
          <w:szCs w:val="28"/>
        </w:rPr>
        <w:t xml:space="preserve"> </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hint="default" w:ascii="微软雅黑" w:hAnsi="微软雅黑" w:eastAsia="微软雅黑"/>
          <w:szCs w:val="22"/>
          <w:lang w:val="en-US" w:eastAsia="zh-CN"/>
        </w:rPr>
      </w:pPr>
      <w:r>
        <w:rPr>
          <w:rFonts w:hint="eastAsia" w:ascii="微软雅黑" w:hAnsi="微软雅黑" w:eastAsia="微软雅黑"/>
          <w:szCs w:val="22"/>
        </w:rPr>
        <w:t xml:space="preserve">职务 </w:t>
      </w:r>
      <w:r>
        <w:rPr>
          <w:rFonts w:hint="eastAsia" w:ascii="微软雅黑" w:hAnsi="微软雅黑" w:eastAsia="微软雅黑"/>
          <w:szCs w:val="22"/>
          <w:lang w:val="en-US" w:eastAsia="zh-CN"/>
        </w:rPr>
        <w:t>专职律师、</w:t>
      </w:r>
      <w:r>
        <w:rPr>
          <w:rFonts w:hint="eastAsia" w:ascii="微软雅黑" w:hAnsi="微软雅黑" w:eastAsia="微软雅黑"/>
          <w:szCs w:val="22"/>
        </w:rPr>
        <w:t>合伙人</w:t>
      </w:r>
      <w:r>
        <w:rPr>
          <w:rFonts w:hint="eastAsia" w:ascii="微软雅黑" w:hAnsi="微软雅黑" w:eastAsia="微软雅黑"/>
          <w:szCs w:val="22"/>
          <w:lang w:eastAsia="zh-CN"/>
        </w:rPr>
        <w:t>、</w:t>
      </w:r>
      <w:r>
        <w:rPr>
          <w:rFonts w:hint="eastAsia" w:ascii="微软雅黑" w:hAnsi="微软雅黑" w:eastAsia="微软雅黑"/>
          <w:szCs w:val="22"/>
          <w:lang w:val="en-US" w:eastAsia="zh-CN"/>
        </w:rPr>
        <w:t>质量与风控部副总监</w:t>
      </w:r>
      <w:bookmarkStart w:id="0" w:name="_GoBack"/>
      <w:bookmarkEnd w:id="0"/>
    </w:p>
    <w:p>
      <w:pPr>
        <w:adjustRightInd w:val="0"/>
        <w:snapToGrid w:val="0"/>
        <w:spacing w:line="240" w:lineRule="auto"/>
        <w:ind w:left="4320" w:hanging="4322" w:hangingChars="1800"/>
        <w:rPr>
          <w:rFonts w:hint="default" w:ascii="微软雅黑" w:hAnsi="微软雅黑" w:eastAsia="微软雅黑"/>
          <w:szCs w:val="22"/>
          <w:lang w:val="en-US"/>
        </w:rPr>
      </w:pPr>
      <w:r>
        <w:rPr>
          <w:rFonts w:hint="eastAsia" w:ascii="微软雅黑" w:hAnsi="微软雅黑" w:eastAsia="微软雅黑"/>
          <w:b/>
          <w:sz w:val="24"/>
        </w:rPr>
        <w:t>擅长领域：</w:t>
      </w:r>
      <w:r>
        <w:rPr>
          <w:rFonts w:hint="eastAsia" w:ascii="微软雅黑" w:hAnsi="微软雅黑" w:eastAsia="微软雅黑"/>
          <w:b w:val="0"/>
          <w:bCs w:val="0"/>
          <w:sz w:val="21"/>
          <w:szCs w:val="21"/>
          <w:lang w:eastAsia="zh-CN"/>
        </w:rPr>
        <w:t>工程、能源和基础设施；房地产；税法</w:t>
      </w:r>
      <w:r>
        <w:rPr>
          <w:rFonts w:hint="eastAsia" w:ascii="微软雅黑" w:hAnsi="微软雅黑" w:eastAsia="微软雅黑"/>
          <w:b w:val="0"/>
          <w:bCs w:val="0"/>
          <w:sz w:val="21"/>
          <w:szCs w:val="21"/>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sz w:val="24"/>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hint="eastAsia" w:ascii="微软雅黑" w:hAnsi="微软雅黑" w:eastAsia="微软雅黑"/>
          <w:szCs w:val="21"/>
        </w:rPr>
        <w:t>15091830511</w:t>
      </w:r>
    </w:p>
    <w:p>
      <w:pPr>
        <w:adjustRightInd w:val="0"/>
        <w:snapToGrid w:val="0"/>
        <w:spacing w:line="240" w:lineRule="auto"/>
        <w:ind w:firstLine="0" w:firstLineChars="0"/>
        <w:rPr>
          <w:rFonts w:ascii="微软雅黑" w:hAnsi="微软雅黑" w:eastAsia="微软雅黑"/>
          <w:color w:val="000000"/>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hint="eastAsia" w:ascii="微软雅黑" w:hAnsi="微软雅黑" w:eastAsia="微软雅黑"/>
          <w:szCs w:val="21"/>
        </w:rPr>
        <w:t>413201411</w:t>
      </w:r>
      <w:r>
        <w:rPr>
          <w:rFonts w:ascii="微软雅黑" w:hAnsi="微软雅黑" w:eastAsia="微软雅黑"/>
          <w:szCs w:val="21"/>
        </w:rPr>
        <w:t>@</w:t>
      </w:r>
      <w:r>
        <w:rPr>
          <w:rFonts w:hint="eastAsia" w:ascii="微软雅黑" w:hAnsi="微软雅黑" w:eastAsia="微软雅黑"/>
          <w:szCs w:val="21"/>
        </w:rPr>
        <w:t>qq</w:t>
      </w:r>
      <w:r>
        <w:rPr>
          <w:rFonts w:ascii="微软雅黑" w:hAnsi="微软雅黑" w:eastAsia="微软雅黑"/>
          <w:szCs w:val="21"/>
        </w:rPr>
        <w:t>.com</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执业证号：</w:t>
      </w:r>
      <w:r>
        <w:rPr>
          <w:rFonts w:hint="eastAsia" w:ascii="微软雅黑" w:hAnsi="微软雅黑" w:eastAsia="微软雅黑"/>
          <w:color w:val="000000"/>
          <w:szCs w:val="21"/>
        </w:rPr>
        <w:t>16101201510516437</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b/>
          <w:color w:val="C00000"/>
          <w:sz w:val="24"/>
        </w:rPr>
      </w:pP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b/>
          <w:color w:val="C00000"/>
          <w:sz w:val="24"/>
        </w:rPr>
      </w:pP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人物简历</w:t>
      </w:r>
    </w:p>
    <w:p>
      <w:pPr>
        <w:widowControl/>
        <w:shd w:val="clear" w:color="auto" w:fill="FFFFFF"/>
        <w:spacing w:line="440" w:lineRule="exact"/>
        <w:ind w:firstLine="0" w:firstLineChars="0"/>
        <w:jc w:val="left"/>
        <w:rPr>
          <w:rFonts w:ascii="微软雅黑" w:hAnsi="微软雅黑" w:eastAsia="微软雅黑"/>
          <w:color w:val="000000"/>
          <w:szCs w:val="21"/>
        </w:rPr>
      </w:pPr>
      <w:r>
        <w:rPr>
          <w:rFonts w:hint="eastAsia" w:ascii="微软雅黑" w:hAnsi="微软雅黑" w:eastAsia="微软雅黑"/>
          <w:color w:val="000000"/>
          <w:szCs w:val="21"/>
        </w:rPr>
        <w:t>田磊，男，汉族，中共党员。现为陕西博硕律师事务所合伙人、执业律师。</w:t>
      </w:r>
    </w:p>
    <w:p>
      <w:pPr>
        <w:widowControl/>
        <w:shd w:val="clear" w:color="auto" w:fill="FFFFFF"/>
        <w:spacing w:line="440" w:lineRule="exact"/>
        <w:ind w:firstLine="0" w:firstLineChars="0"/>
        <w:jc w:val="left"/>
        <w:rPr>
          <w:rFonts w:ascii="微软雅黑" w:hAnsi="微软雅黑" w:eastAsia="微软雅黑"/>
          <w:szCs w:val="21"/>
        </w:rPr>
      </w:pPr>
      <w:r>
        <w:rPr>
          <w:rFonts w:hint="eastAsia" w:ascii="微软雅黑" w:hAnsi="微软雅黑" w:eastAsia="微软雅黑"/>
          <w:color w:val="000000"/>
          <w:szCs w:val="21"/>
        </w:rPr>
        <w:t>田磊律师专注于房地产与建设工程法律事务领域，对企业法律风险管理（企业规范化建设、劳动关系风险防范等）、房地产项目收并购、建设工程法律风险管理（项目的总、分包，物资采购、租赁，项目劳动用工等）以及工程建设相关的纠纷处理（材料款、进度款、工程款等谈判、诉讼）等方面的法律业务有较为高效、完善的处理能力。</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西北政法大学</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ascii="微软雅黑" w:hAnsi="微软雅黑" w:eastAsia="微软雅黑"/>
          <w:szCs w:val="21"/>
        </w:rPr>
        <w:t>陕西博硕律师事务所</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律师</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p>
    <w:p>
      <w:pPr>
        <w:pBdr>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numPr>
          <w:ilvl w:val="0"/>
          <w:numId w:val="1"/>
        </w:numPr>
        <w:adjustRightInd w:val="0"/>
        <w:snapToGrid w:val="0"/>
        <w:spacing w:line="276" w:lineRule="auto"/>
        <w:ind w:left="0" w:firstLineChars="0"/>
        <w:rPr>
          <w:rFonts w:ascii="微软雅黑" w:hAnsi="微软雅黑" w:eastAsia="微软雅黑"/>
          <w:bCs/>
          <w:szCs w:val="21"/>
        </w:rPr>
      </w:pPr>
      <w:r>
        <w:rPr>
          <w:rFonts w:hint="eastAsia" w:ascii="微软雅黑" w:hAnsi="微软雅黑" w:eastAsia="微软雅黑"/>
          <w:szCs w:val="21"/>
        </w:rPr>
        <w:t>先后服务的部分建筑企业：中交第二公路工程局有限公司、</w:t>
      </w:r>
      <w:r>
        <w:rPr>
          <w:rFonts w:hint="eastAsia" w:ascii="微软雅黑" w:hAnsi="微软雅黑" w:eastAsia="微软雅黑"/>
          <w:bCs/>
          <w:szCs w:val="21"/>
        </w:rPr>
        <w:t>中天建设集团有限公司第五建设公司</w:t>
      </w:r>
      <w:r>
        <w:rPr>
          <w:rFonts w:ascii="微软雅黑" w:hAnsi="微软雅黑" w:eastAsia="微软雅黑"/>
          <w:bCs/>
          <w:szCs w:val="21"/>
        </w:rPr>
        <w:t>、</w:t>
      </w:r>
      <w:r>
        <w:rPr>
          <w:rFonts w:hint="eastAsia" w:ascii="微软雅黑" w:hAnsi="微软雅黑" w:eastAsia="微软雅黑"/>
          <w:bCs/>
          <w:szCs w:val="21"/>
        </w:rPr>
        <w:t>中天西北建设投资集团有限公司</w:t>
      </w:r>
      <w:r>
        <w:rPr>
          <w:rFonts w:ascii="微软雅黑" w:hAnsi="微软雅黑" w:eastAsia="微软雅黑"/>
          <w:bCs/>
          <w:szCs w:val="21"/>
        </w:rPr>
        <w:t>、</w:t>
      </w:r>
      <w:r>
        <w:rPr>
          <w:rFonts w:hint="eastAsia" w:ascii="微软雅黑" w:hAnsi="微软雅黑" w:eastAsia="微软雅黑"/>
          <w:szCs w:val="21"/>
        </w:rPr>
        <w:t>长枫建设集团有限公司、歌山建设集团有限公司、北京城建北方集团有限公司、陕西大唐置恒实业有限公司；</w:t>
      </w:r>
    </w:p>
    <w:p>
      <w:pPr>
        <w:numPr>
          <w:ilvl w:val="0"/>
          <w:numId w:val="1"/>
        </w:numPr>
        <w:adjustRightInd w:val="0"/>
        <w:snapToGrid w:val="0"/>
        <w:spacing w:line="276" w:lineRule="auto"/>
        <w:ind w:left="0" w:firstLineChars="0"/>
        <w:rPr>
          <w:rFonts w:ascii="微软雅黑" w:hAnsi="微软雅黑" w:eastAsia="微软雅黑"/>
          <w:bCs/>
          <w:szCs w:val="21"/>
        </w:rPr>
      </w:pPr>
      <w:r>
        <w:rPr>
          <w:rFonts w:hint="eastAsia" w:ascii="微软雅黑" w:hAnsi="微软雅黑" w:eastAsia="微软雅黑"/>
          <w:szCs w:val="21"/>
        </w:rPr>
        <w:t>先后服务的部分房产企业：</w:t>
      </w:r>
      <w:r>
        <w:rPr>
          <w:rFonts w:hint="eastAsia" w:ascii="微软雅黑" w:hAnsi="微软雅黑" w:eastAsia="微软雅黑"/>
          <w:bCs/>
          <w:szCs w:val="21"/>
        </w:rPr>
        <w:t>西咸新区中天房地产开发有限公司</w:t>
      </w:r>
      <w:r>
        <w:rPr>
          <w:rFonts w:ascii="微软雅黑" w:hAnsi="微软雅黑" w:eastAsia="微软雅黑"/>
          <w:bCs/>
          <w:szCs w:val="21"/>
        </w:rPr>
        <w:t>、</w:t>
      </w:r>
      <w:r>
        <w:rPr>
          <w:rFonts w:hint="eastAsia" w:ascii="微软雅黑" w:hAnsi="微软雅黑" w:eastAsia="微软雅黑"/>
          <w:bCs/>
          <w:szCs w:val="21"/>
        </w:rPr>
        <w:t>西安中新瑞翔房地产开发有限责任公司、西安灞业房地产开发有限公司、</w:t>
      </w:r>
      <w:r>
        <w:rPr>
          <w:rFonts w:hint="eastAsia" w:ascii="微软雅黑" w:hAnsi="微软雅黑" w:eastAsia="微软雅黑"/>
          <w:szCs w:val="21"/>
        </w:rPr>
        <w:t>陕西瑞鑫源实业有限公司、陕西东都实业有限公司。</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办理的有影响的民事案件</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主办的《歌山建设集团与茗景置业建设工程施工合同纠纷案》 2018年在CCTV12 《大国仲裁》中报道；</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主办的《中天建设集团有限公司执行陕西新桃花源旅游经贸实业有限公司案》入选2019年度陕西法院十大审判执行案件；</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主办的《中天建设集团有限公司与西安城苑房地产实业有限公司建设工程施工合同纠纷案》，经陕西高院一审、最高院二审均胜诉</w:t>
      </w:r>
      <w:r>
        <w:rPr>
          <w:rFonts w:hint="eastAsia" w:ascii="微软雅黑" w:hAnsi="微软雅黑" w:eastAsia="微软雅黑"/>
          <w:szCs w:val="21"/>
          <w:lang w:eastAsia="zh-CN"/>
        </w:rPr>
        <w:t>，并被评为“陕西省首届建设工程法律服务十大典型案例”</w:t>
      </w:r>
      <w:r>
        <w:rPr>
          <w:rFonts w:hint="eastAsia" w:ascii="微软雅黑" w:hAnsi="微软雅黑" w:eastAsia="微软雅黑"/>
          <w:szCs w:val="21"/>
        </w:rPr>
        <w:t>；</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参与办理的《宋文军诉西安市大华餐饮有限公司股东资格确认纠纷案》入选最高人民法院第96号指导性案例；</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参与办理的《陕西东都实业有限公司与华泰联合证券有限责任公司、深圳众禄金融控股股份有限公司、陕西天晟置业顾问有限公司》房屋买卖合同纠纷一案，经陕西高院一审胜诉，后经最高院二审调解结案。</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办理的典型非诉案例</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西安麦穗置业有限公司位于草滩的</w:t>
      </w:r>
      <w:r>
        <w:rPr>
          <w:rFonts w:ascii="微软雅黑" w:hAnsi="微软雅黑" w:eastAsia="微软雅黑"/>
          <w:szCs w:val="21"/>
        </w:rPr>
        <w:t>256</w:t>
      </w:r>
      <w:r>
        <w:rPr>
          <w:rFonts w:hint="eastAsia" w:ascii="微软雅黑" w:hAnsi="微软雅黑" w:eastAsia="微软雅黑"/>
          <w:szCs w:val="21"/>
        </w:rPr>
        <w:t>亩商住用地转让</w:t>
      </w:r>
      <w:r>
        <w:rPr>
          <w:rFonts w:ascii="微软雅黑" w:hAnsi="微软雅黑" w:eastAsia="微软雅黑"/>
          <w:szCs w:val="21"/>
        </w:rPr>
        <w:t>，</w:t>
      </w:r>
      <w:r>
        <w:rPr>
          <w:rFonts w:hint="eastAsia" w:ascii="微软雅黑" w:hAnsi="微软雅黑" w:eastAsia="微软雅黑"/>
          <w:szCs w:val="21"/>
        </w:rPr>
        <w:t>收购方委托尽职调查及合作阶段非诉案</w:t>
      </w:r>
      <w:r>
        <w:rPr>
          <w:rFonts w:ascii="微软雅黑" w:hAnsi="微软雅黑" w:eastAsia="微软雅黑"/>
          <w:szCs w:val="21"/>
        </w:rPr>
        <w:t>（</w:t>
      </w:r>
      <w:r>
        <w:rPr>
          <w:rFonts w:hint="eastAsia" w:ascii="微软雅黑" w:hAnsi="微软雅黑" w:eastAsia="微软雅黑"/>
          <w:szCs w:val="21"/>
        </w:rPr>
        <w:t>协议签署后</w:t>
      </w:r>
      <w:r>
        <w:rPr>
          <w:rFonts w:ascii="微软雅黑" w:hAnsi="微软雅黑" w:eastAsia="微软雅黑"/>
          <w:szCs w:val="21"/>
        </w:rPr>
        <w:t>，</w:t>
      </w:r>
      <w:r>
        <w:rPr>
          <w:rFonts w:hint="eastAsia" w:ascii="微软雅黑" w:hAnsi="微软雅黑" w:eastAsia="微软雅黑"/>
          <w:szCs w:val="21"/>
        </w:rPr>
        <w:t>被收购公司反悔</w:t>
      </w:r>
      <w:r>
        <w:rPr>
          <w:rFonts w:ascii="微软雅黑" w:hAnsi="微软雅黑" w:eastAsia="微软雅黑"/>
          <w:szCs w:val="21"/>
        </w:rPr>
        <w:t>，</w:t>
      </w:r>
      <w:r>
        <w:rPr>
          <w:rFonts w:hint="eastAsia" w:ascii="微软雅黑" w:hAnsi="微软雅黑" w:eastAsia="微软雅黑"/>
          <w:szCs w:val="21"/>
        </w:rPr>
        <w:t>我方基于完善的协议</w:t>
      </w:r>
      <w:r>
        <w:rPr>
          <w:rFonts w:ascii="微软雅黑" w:hAnsi="微软雅黑" w:eastAsia="微软雅黑"/>
          <w:szCs w:val="21"/>
        </w:rPr>
        <w:t>，</w:t>
      </w:r>
      <w:r>
        <w:rPr>
          <w:rFonts w:hint="eastAsia" w:ascii="微软雅黑" w:hAnsi="微软雅黑" w:eastAsia="微软雅黑"/>
          <w:szCs w:val="21"/>
        </w:rPr>
        <w:t>成功追回已付款</w:t>
      </w:r>
      <w:r>
        <w:rPr>
          <w:rFonts w:ascii="微软雅黑" w:hAnsi="微软雅黑" w:eastAsia="微软雅黑"/>
          <w:szCs w:val="21"/>
        </w:rPr>
        <w:t>7000</w:t>
      </w:r>
      <w:r>
        <w:rPr>
          <w:rFonts w:hint="eastAsia" w:ascii="微软雅黑" w:hAnsi="微软雅黑" w:eastAsia="微软雅黑"/>
          <w:szCs w:val="21"/>
        </w:rPr>
        <w:t>万元及赔偿款</w:t>
      </w:r>
      <w:r>
        <w:rPr>
          <w:rFonts w:ascii="微软雅黑" w:hAnsi="微软雅黑" w:eastAsia="微软雅黑"/>
          <w:szCs w:val="21"/>
        </w:rPr>
        <w:t>3080</w:t>
      </w:r>
      <w:r>
        <w:rPr>
          <w:rFonts w:hint="eastAsia" w:ascii="微软雅黑" w:hAnsi="微软雅黑" w:eastAsia="微软雅黑"/>
          <w:szCs w:val="21"/>
        </w:rPr>
        <w:t>万元</w:t>
      </w:r>
      <w:r>
        <w:rPr>
          <w:rFonts w:ascii="微软雅黑" w:hAnsi="微软雅黑" w:eastAsia="微软雅黑"/>
          <w:szCs w:val="21"/>
        </w:rPr>
        <w:t>）</w:t>
      </w:r>
      <w:r>
        <w:rPr>
          <w:rFonts w:hint="eastAsia" w:ascii="微软雅黑" w:hAnsi="微软雅黑" w:eastAsia="微软雅黑"/>
          <w:szCs w:val="21"/>
        </w:rPr>
        <w:t>；</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中*房与兵*工业集团位于兵*工业园</w:t>
      </w:r>
      <w:r>
        <w:rPr>
          <w:rFonts w:ascii="微软雅黑" w:hAnsi="微软雅黑" w:eastAsia="微软雅黑"/>
          <w:szCs w:val="21"/>
        </w:rPr>
        <w:t>76</w:t>
      </w:r>
      <w:r>
        <w:rPr>
          <w:rFonts w:hint="eastAsia" w:ascii="微软雅黑" w:hAnsi="微软雅黑" w:eastAsia="微软雅黑"/>
          <w:szCs w:val="21"/>
        </w:rPr>
        <w:t>亩商住用地转让</w:t>
      </w:r>
      <w:r>
        <w:rPr>
          <w:rFonts w:ascii="微软雅黑" w:hAnsi="微软雅黑" w:eastAsia="微软雅黑"/>
          <w:szCs w:val="21"/>
        </w:rPr>
        <w:t>，</w:t>
      </w:r>
      <w:r>
        <w:rPr>
          <w:rFonts w:hint="eastAsia" w:ascii="微软雅黑" w:hAnsi="微软雅黑" w:eastAsia="微软雅黑"/>
          <w:szCs w:val="21"/>
        </w:rPr>
        <w:t>收购方委托合作阶段非诉案；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某外资公司西北运营中心项目所属的位于西安市长安区</w:t>
      </w:r>
      <w:r>
        <w:rPr>
          <w:rFonts w:ascii="微软雅黑" w:hAnsi="微软雅黑" w:eastAsia="微软雅黑"/>
          <w:szCs w:val="21"/>
        </w:rPr>
        <w:t>60</w:t>
      </w:r>
      <w:r>
        <w:rPr>
          <w:rFonts w:hint="eastAsia" w:ascii="微软雅黑" w:hAnsi="微软雅黑" w:eastAsia="微软雅黑"/>
          <w:szCs w:val="21"/>
        </w:rPr>
        <w:t>余亩配套商服用地转让</w:t>
      </w:r>
      <w:r>
        <w:rPr>
          <w:rFonts w:ascii="微软雅黑" w:hAnsi="微软雅黑" w:eastAsia="微软雅黑"/>
          <w:szCs w:val="21"/>
        </w:rPr>
        <w:t>，</w:t>
      </w:r>
      <w:r>
        <w:rPr>
          <w:rFonts w:hint="eastAsia" w:ascii="微软雅黑" w:hAnsi="微软雅黑" w:eastAsia="微软雅黑"/>
          <w:szCs w:val="21"/>
        </w:rPr>
        <w:t>收购方委托尽职调查及合作阶段非诉案；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某部委下属公司位于西咸新区秦汉新城园区商服用地转让</w:t>
      </w:r>
      <w:r>
        <w:rPr>
          <w:rFonts w:ascii="微软雅黑" w:hAnsi="微软雅黑" w:eastAsia="微软雅黑"/>
          <w:szCs w:val="21"/>
        </w:rPr>
        <w:t>，</w:t>
      </w:r>
      <w:r>
        <w:rPr>
          <w:rFonts w:hint="eastAsia" w:ascii="微软雅黑" w:hAnsi="微软雅黑" w:eastAsia="微软雅黑"/>
          <w:szCs w:val="21"/>
        </w:rPr>
        <w:t>收购方委托意向合作阶段非诉案；</w:t>
      </w:r>
    </w:p>
    <w:p>
      <w:pPr>
        <w:numPr>
          <w:ilvl w:val="0"/>
          <w:numId w:val="1"/>
        </w:numPr>
        <w:adjustRightInd w:val="0"/>
        <w:snapToGrid w:val="0"/>
        <w:spacing w:line="276" w:lineRule="auto"/>
        <w:ind w:left="0" w:firstLineChars="0"/>
        <w:rPr>
          <w:rFonts w:ascii="微软雅黑" w:hAnsi="微软雅黑" w:eastAsia="微软雅黑"/>
          <w:bCs/>
          <w:szCs w:val="21"/>
        </w:rPr>
      </w:pPr>
      <w:r>
        <w:rPr>
          <w:rFonts w:hint="eastAsia" w:ascii="微软雅黑" w:hAnsi="微软雅黑" w:eastAsia="微软雅黑"/>
          <w:bCs/>
          <w:szCs w:val="21"/>
        </w:rPr>
        <w:t>某知名食品企业西安工厂转商服用地后转让</w:t>
      </w:r>
      <w:r>
        <w:rPr>
          <w:rFonts w:ascii="微软雅黑" w:hAnsi="微软雅黑" w:eastAsia="微软雅黑"/>
          <w:bCs/>
          <w:szCs w:val="21"/>
        </w:rPr>
        <w:t>，</w:t>
      </w:r>
      <w:r>
        <w:rPr>
          <w:rFonts w:hint="eastAsia" w:ascii="微软雅黑" w:hAnsi="微软雅黑" w:eastAsia="微软雅黑"/>
          <w:bCs/>
          <w:szCs w:val="21"/>
        </w:rPr>
        <w:t>收购方委托尽职调查及合作阶段非诉案。</w:t>
      </w:r>
    </w:p>
    <w:p>
      <w:pPr>
        <w:adjustRightInd w:val="0"/>
        <w:snapToGrid w:val="0"/>
        <w:spacing w:line="276" w:lineRule="auto"/>
        <w:ind w:firstLine="0" w:firstLineChars="0"/>
        <w:rPr>
          <w:rFonts w:ascii="微软雅黑" w:hAnsi="微软雅黑" w:eastAsia="微软雅黑"/>
          <w:szCs w:val="21"/>
        </w:rPr>
      </w:pPr>
    </w:p>
    <w:sectPr>
      <w:headerReference r:id="rId7"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0" distR="0" simplePos="0" relativeHeight="251659264" behindDoc="0" locked="0" layoutInCell="1" allowOverlap="1">
              <wp:simplePos x="0" y="0"/>
              <wp:positionH relativeFrom="column">
                <wp:posOffset>-66675</wp:posOffset>
              </wp:positionH>
              <wp:positionV relativeFrom="paragraph">
                <wp:posOffset>-6350</wp:posOffset>
              </wp:positionV>
              <wp:extent cx="5400040" cy="0"/>
              <wp:effectExtent l="11430" t="6985" r="8255" b="12065"/>
              <wp:wrapNone/>
              <wp:docPr id="4099" name="AutoShape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AutoShape 7" o:spid="_x0000_s1026" o:spt="32" type="#_x0000_t32" style="position:absolute;left:0pt;margin-left:-5.25pt;margin-top:-0.5pt;height:0pt;width:425.2pt;z-index:251659264;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VhT/jWAAAA&#10;CQEAAA8AAAAAAAAAAQAgAAAAIgAAAGRycy9kb3ducmV2LnhtbFBLAQIUABQAAAAIAIdO4kBmQmoo&#10;5gEAAO0DAAAOAAAAAAAAAAEAIAAAACUBAABkcnMvZTJvRG9jLnhtbFBLBQYAAAAABgAGAFkBAAB9&#10;BQAAAAA=&#10;">
              <v:fill on="f" focussize="0,0"/>
              <v:stroke color="#000000" joinstyle="round"/>
              <v:imagedata o:title=""/>
              <o:lock v:ext="edit" aspectratio="f"/>
            </v:shape>
          </w:pict>
        </mc:Fallback>
      </mc:AlternateContent>
    </w:r>
    <w:r>
      <mc:AlternateContent>
        <mc:Choice Requires="wps">
          <w:drawing>
            <wp:anchor distT="0" distB="0" distL="0" distR="0" simplePos="0" relativeHeight="251659264" behindDoc="0" locked="0" layoutInCell="1" allowOverlap="1">
              <wp:simplePos x="0" y="0"/>
              <wp:positionH relativeFrom="column">
                <wp:posOffset>4611370</wp:posOffset>
              </wp:positionH>
              <wp:positionV relativeFrom="paragraph">
                <wp:posOffset>1905</wp:posOffset>
              </wp:positionV>
              <wp:extent cx="764540" cy="749935"/>
              <wp:effectExtent l="3175" t="0" r="3810" b="0"/>
              <wp:wrapNone/>
              <wp:docPr id="4100" name="Text Box 9"/>
              <wp:cNvGraphicFramePr/>
              <a:graphic xmlns:a="http://schemas.openxmlformats.org/drawingml/2006/main">
                <a:graphicData uri="http://schemas.microsoft.com/office/word/2010/wordprocessingShape">
                  <wps:wsp>
                    <wps:cNvSpPr/>
                    <wps:spPr>
                      <a:xfrm>
                        <a:off x="0" y="0"/>
                        <a:ext cx="764540" cy="749935"/>
                      </a:xfrm>
                      <a:prstGeom prst="rect">
                        <a:avLst/>
                      </a:prstGeom>
                      <a:ln>
                        <a:noFill/>
                      </a:ln>
                    </wps:spPr>
                    <wps:txbx>
                      <w:txbxContent>
                        <w:p>
                          <w:pPr>
                            <w:ind w:firstLine="0" w:firstLineChars="0"/>
                          </w:pPr>
                          <w:r>
                            <w:rPr>
                              <w:rFonts w:ascii="宋体" w:hAnsi="宋体"/>
                            </w:rPr>
                            <w:drawing>
                              <wp:inline distT="0" distB="0" distL="0" distR="0">
                                <wp:extent cx="581025" cy="581025"/>
                                <wp:effectExtent l="0" t="0" r="9525" b="9525"/>
                                <wp:docPr id="3073" name="图片 4" descr="微信二维码"/>
                                <wp:cNvGraphicFramePr/>
                                <a:graphic xmlns:a="http://schemas.openxmlformats.org/drawingml/2006/main">
                                  <a:graphicData uri="http://schemas.openxmlformats.org/drawingml/2006/picture">
                                    <pic:pic xmlns:pic="http://schemas.openxmlformats.org/drawingml/2006/picture">
                                      <pic:nvPicPr>
                                        <pic:cNvPr id="3073" name="图片 4" descr="微信二维码"/>
                                        <pic:cNvPicPr/>
                                      </pic:nvPicPr>
                                      <pic:blipFill>
                                        <a:blip r:embed="rId1" cstate="print"/>
                                        <a:srcRect l="880" t="880" r="880" b="880"/>
                                        <a:stretch>
                                          <a:fillRect/>
                                        </a:stretch>
                                      </pic:blipFill>
                                      <pic:spPr>
                                        <a:xfrm>
                                          <a:off x="0" y="0"/>
                                          <a:ext cx="581025" cy="581025"/>
                                        </a:xfrm>
                                        <a:prstGeom prst="rect">
                                          <a:avLst/>
                                        </a:prstGeom>
                                        <a:ln>
                                          <a:noFill/>
                                        </a:ln>
                                      </pic:spPr>
                                    </pic:pic>
                                  </a:graphicData>
                                </a:graphic>
                              </wp:inline>
                            </w:drawing>
                          </w:r>
                        </w:p>
                      </w:txbxContent>
                    </wps:txbx>
                    <wps:bodyPr vert="horz" wrap="none" lIns="91440" tIns="45720" rIns="91440" bIns="45720" anchor="t" upright="1">
                      <a:spAutoFit/>
                    </wps:bodyPr>
                  </wps:wsp>
                </a:graphicData>
              </a:graphic>
            </wp:anchor>
          </w:drawing>
        </mc:Choice>
        <mc:Fallback>
          <w:pict>
            <v:rect id="Text Box 9" o:spid="_x0000_s1026" o:spt="1" style="position:absolute;left:0pt;margin-left:363.1pt;margin-top:0.15pt;height:59.05pt;width:60.2pt;mso-wrap-style:none;z-index:251659264;mso-width-relative:page;mso-height-relative:page;" filled="f" stroked="f" coordsize="21600,21600" o:gfxdata="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Yk2ntcAAAAIAQAADwAAAAAAAAABACAAAAAiAAAA&#10;ZHJzL2Rvd25yZXYueG1sUEsBAhQAFAAAAAgAh07iQJni+jnPAQAAqwMAAA4AAAAAAAAAAQAgAAAA&#10;JgEAAGRycy9lMm9Eb2MueG1sUEsFBgAAAAAGAAYAWQEAAGcFAAAAAA==&#10;">
              <v:fill on="f" focussize="0,0"/>
              <v:stroke on="f"/>
              <v:imagedata o:title=""/>
              <o:lock v:ext="edit" aspectratio="f"/>
              <v:textbox style="mso-fit-shape-to-text:t;">
                <w:txbxContent>
                  <w:p>
                    <w:pPr>
                      <w:ind w:firstLine="0" w:firstLineChars="0"/>
                    </w:pPr>
                    <w:r>
                      <w:rPr>
                        <w:rFonts w:ascii="宋体" w:hAnsi="宋体"/>
                      </w:rPr>
                      <w:drawing>
                        <wp:inline distT="0" distB="0" distL="0" distR="0">
                          <wp:extent cx="581025" cy="581025"/>
                          <wp:effectExtent l="0" t="0" r="9525" b="9525"/>
                          <wp:docPr id="3073" name="图片 4" descr="微信二维码"/>
                          <wp:cNvGraphicFramePr/>
                          <a:graphic xmlns:a="http://schemas.openxmlformats.org/drawingml/2006/main">
                            <a:graphicData uri="http://schemas.openxmlformats.org/drawingml/2006/picture">
                              <pic:pic xmlns:pic="http://schemas.openxmlformats.org/drawingml/2006/picture">
                                <pic:nvPicPr>
                                  <pic:cNvPr id="3073" name="图片 4" descr="微信二维码"/>
                                  <pic:cNvPicPr/>
                                </pic:nvPicPr>
                                <pic:blipFill>
                                  <a:blip r:embed="rId1" cstate="print"/>
                                  <a:srcRect l="880" t="880" r="880" b="880"/>
                                  <a:stretch>
                                    <a:fillRect/>
                                  </a:stretch>
                                </pic:blipFill>
                                <pic:spPr>
                                  <a:xfrm>
                                    <a:off x="0" y="0"/>
                                    <a:ext cx="581025" cy="581025"/>
                                  </a:xfrm>
                                  <a:prstGeom prst="rect">
                                    <a:avLst/>
                                  </a:prstGeom>
                                  <a:ln>
                                    <a:noFill/>
                                  </a:ln>
                                </pic:spPr>
                              </pic:pic>
                            </a:graphicData>
                          </a:graphic>
                        </wp:inline>
                      </w:drawing>
                    </w:r>
                  </w:p>
                </w:txbxContent>
              </v:textbox>
            </v:rect>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1"/>
      <w:tabs>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2"/>
      </w:rPr>
    </w:pPr>
    <w:r>
      <w:rPr>
        <w:rStyle w:val="22"/>
      </w:rPr>
      <w:fldChar w:fldCharType="begin"/>
    </w:r>
    <w:r>
      <w:rPr>
        <w:rStyle w:val="22"/>
      </w:rPr>
      <w:instrText xml:space="preserve">PAGE  </w:instrText>
    </w:r>
    <w:r>
      <w:rPr>
        <w:rStyle w:val="22"/>
      </w:rPr>
      <w:fldChar w:fldCharType="end"/>
    </w:r>
  </w:p>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0" distR="0" simplePos="0" relativeHeight="251659264" behindDoc="0" locked="0" layoutInCell="1" allowOverlap="1">
              <wp:simplePos x="0" y="0"/>
              <wp:positionH relativeFrom="column">
                <wp:posOffset>-68580</wp:posOffset>
              </wp:positionH>
              <wp:positionV relativeFrom="paragraph">
                <wp:posOffset>365125</wp:posOffset>
              </wp:positionV>
              <wp:extent cx="5400040" cy="0"/>
              <wp:effectExtent l="0" t="0" r="10160" b="19050"/>
              <wp:wrapNone/>
              <wp:docPr id="4097" name="AutoShape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AutoShape 15" o:spid="_x0000_s1026" o:spt="32" type="#_x0000_t32" style="position:absolute;left:0pt;margin-left:-5.4pt;margin-top:28.75pt;height:0pt;width:425.2pt;z-index:251659264;mso-width-relative:page;mso-height-relative:page;" filled="f" stroked="t" coordsize="21600,21600" o:gfxdata="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4dLi/Y&#10;AAAACQEAAA8AAAAAAAAAAQAgAAAAIgAAAGRycy9kb3ducmV2LnhtbFBLAQIUABQAAAAIAIdO4kBd&#10;Ps5E5wEAAO4DAAAOAAAAAAAAAAEAIAAAACcBAABkcnMvZTJvRG9jLnhtbFBLBQYAAAAABgAGAFkB&#10;AACABQAAAAA=&#10;">
              <v:fill on="f" focussize="0,0"/>
              <v:stroke color="#000000" joinstyle="round"/>
              <v:imagedata o:title=""/>
              <o:lock v:ext="edit" aspectratio="f"/>
            </v:shape>
          </w:pict>
        </mc:Fallback>
      </mc:AlternateContent>
    </w:r>
    <w:r>
      <w:drawing>
        <wp:anchor distT="0" distB="0" distL="0" distR="0" simplePos="0" relativeHeight="251659264" behindDoc="0" locked="0" layoutInCell="1" allowOverlap="1">
          <wp:simplePos x="0" y="0"/>
          <wp:positionH relativeFrom="column">
            <wp:posOffset>-1905</wp:posOffset>
          </wp:positionH>
          <wp:positionV relativeFrom="paragraph">
            <wp:posOffset>-330200</wp:posOffset>
          </wp:positionV>
          <wp:extent cx="2305050" cy="628650"/>
          <wp:effectExtent l="0" t="0" r="0" b="0"/>
          <wp:wrapNone/>
          <wp:docPr id="4098" name="图片 2"/>
          <wp:cNvGraphicFramePr/>
          <a:graphic xmlns:a="http://schemas.openxmlformats.org/drawingml/2006/main">
            <a:graphicData uri="http://schemas.openxmlformats.org/drawingml/2006/picture">
              <pic:pic xmlns:pic="http://schemas.openxmlformats.org/drawingml/2006/picture">
                <pic:nvPicPr>
                  <pic:cNvPr id="4098" name="图片 2"/>
                  <pic:cNvPicPr/>
                </pic:nvPicPr>
                <pic:blipFill>
                  <a:blip r:embed="rId1" cstate="print"/>
                  <a:srcRect l="22026"/>
                  <a:stretch>
                    <a:fillRect/>
                  </a:stretch>
                </pic:blipFill>
                <pic:spPr>
                  <a:xfrm>
                    <a:off x="0" y="0"/>
                    <a:ext cx="2305050" cy="628650"/>
                  </a:xfrm>
                  <a:prstGeom prst="rect">
                    <a:avLst/>
                  </a:prstGeom>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lvlText w:val=""/>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OTUwNjE2MzRmNzFmNTQwOGNkNDU2MWUyMjIzOGEifQ=="/>
  </w:docVars>
  <w:rsids>
    <w:rsidRoot w:val="00000000"/>
    <w:rsid w:val="174C0682"/>
    <w:rsid w:val="3D2D7A3A"/>
    <w:rsid w:val="6CF10733"/>
    <w:rsid w:val="6FB83465"/>
    <w:rsid w:val="797F3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6" w:lineRule="auto"/>
      <w:ind w:firstLine="0" w:firstLineChars="0"/>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paragraph" w:styleId="5">
    <w:name w:val="heading 4"/>
    <w:basedOn w:val="1"/>
    <w:next w:val="1"/>
    <w:link w:val="34"/>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0">
    <w:name w:val="Default Paragraph Font"/>
    <w:qFormat/>
    <w:uiPriority w:val="1"/>
  </w:style>
  <w:style w:type="table" w:default="1" w:styleId="18">
    <w:name w:val="Normal Table"/>
    <w:uiPriority w:val="99"/>
    <w:tblPr>
      <w:tblCellMar>
        <w:top w:w="0" w:type="dxa"/>
        <w:left w:w="108" w:type="dxa"/>
        <w:bottom w:w="0" w:type="dxa"/>
        <w:right w:w="108" w:type="dxa"/>
      </w:tblCellMar>
    </w:tblPr>
  </w:style>
  <w:style w:type="paragraph" w:styleId="6">
    <w:name w:val="annotation text"/>
    <w:basedOn w:val="1"/>
    <w:link w:val="30"/>
    <w:qFormat/>
    <w:uiPriority w:val="0"/>
    <w:pPr>
      <w:jc w:val="left"/>
    </w:pPr>
  </w:style>
  <w:style w:type="paragraph" w:styleId="7">
    <w:name w:val="Body Text"/>
    <w:basedOn w:val="1"/>
    <w:link w:val="28"/>
    <w:qFormat/>
    <w:uiPriority w:val="0"/>
    <w:pPr>
      <w:spacing w:after="120" w:line="240" w:lineRule="auto"/>
      <w:ind w:firstLine="0" w:firstLineChars="0"/>
    </w:p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6"/>
    <w:qFormat/>
    <w:uiPriority w:val="0"/>
    <w:pPr>
      <w:ind w:left="100" w:leftChars="2500"/>
    </w:pPr>
  </w:style>
  <w:style w:type="paragraph" w:styleId="10">
    <w:name w:val="Balloon Text"/>
    <w:basedOn w:val="1"/>
    <w:link w:val="32"/>
    <w:uiPriority w:val="0"/>
    <w:pPr>
      <w:spacing w:line="240" w:lineRule="auto"/>
    </w:pPr>
    <w:rPr>
      <w:sz w:val="18"/>
      <w:szCs w:val="18"/>
    </w:rPr>
  </w:style>
  <w:style w:type="paragraph" w:styleId="11">
    <w:name w:val="footer"/>
    <w:basedOn w:val="1"/>
    <w:link w:val="29"/>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1"/>
    <w:qFormat/>
    <w:uiPriority w:val="0"/>
    <w:rPr>
      <w:b/>
      <w:bCs/>
    </w:rPr>
  </w:style>
  <w:style w:type="paragraph" w:styleId="17">
    <w:name w:val="Body Text First Indent"/>
    <w:basedOn w:val="7"/>
    <w:link w:val="35"/>
    <w:uiPriority w:val="0"/>
    <w:pPr>
      <w:spacing w:line="360" w:lineRule="auto"/>
      <w:ind w:firstLine="420" w:firstLineChars="100"/>
    </w:pPr>
    <w:rPr>
      <w:lang w:val="en-US" w:eastAsia="zh-C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标题 1 Char"/>
    <w:link w:val="2"/>
    <w:qFormat/>
    <w:uiPriority w:val="0"/>
    <w:rPr>
      <w:b/>
      <w:bCs/>
      <w:kern w:val="44"/>
      <w:sz w:val="44"/>
      <w:szCs w:val="44"/>
    </w:rPr>
  </w:style>
  <w:style w:type="character" w:customStyle="1" w:styleId="26">
    <w:name w:val="日期 Char"/>
    <w:link w:val="9"/>
    <w:qFormat/>
    <w:uiPriority w:val="0"/>
    <w:rPr>
      <w:kern w:val="2"/>
      <w:sz w:val="21"/>
      <w:szCs w:val="24"/>
    </w:rPr>
  </w:style>
  <w:style w:type="character" w:customStyle="1" w:styleId="27">
    <w:name w:val="标题 2 Char"/>
    <w:link w:val="3"/>
    <w:qFormat/>
    <w:uiPriority w:val="0"/>
    <w:rPr>
      <w:rFonts w:ascii="Arial" w:hAnsi="Arial" w:eastAsia="黑体"/>
      <w:b/>
      <w:bCs/>
      <w:kern w:val="2"/>
      <w:sz w:val="32"/>
      <w:szCs w:val="32"/>
    </w:rPr>
  </w:style>
  <w:style w:type="character" w:customStyle="1" w:styleId="28">
    <w:name w:val="正文文本 Char"/>
    <w:link w:val="7"/>
    <w:qFormat/>
    <w:uiPriority w:val="0"/>
    <w:rPr>
      <w:kern w:val="2"/>
      <w:sz w:val="21"/>
      <w:szCs w:val="24"/>
    </w:rPr>
  </w:style>
  <w:style w:type="character" w:customStyle="1" w:styleId="29">
    <w:name w:val="页脚 Char"/>
    <w:link w:val="11"/>
    <w:qFormat/>
    <w:uiPriority w:val="99"/>
    <w:rPr>
      <w:kern w:val="2"/>
      <w:sz w:val="18"/>
      <w:szCs w:val="18"/>
    </w:rPr>
  </w:style>
  <w:style w:type="character" w:customStyle="1" w:styleId="30">
    <w:name w:val="批注文字 Char"/>
    <w:link w:val="6"/>
    <w:qFormat/>
    <w:uiPriority w:val="0"/>
    <w:rPr>
      <w:kern w:val="2"/>
      <w:sz w:val="21"/>
      <w:szCs w:val="24"/>
    </w:rPr>
  </w:style>
  <w:style w:type="character" w:customStyle="1" w:styleId="31">
    <w:name w:val="批注主题 Char"/>
    <w:link w:val="16"/>
    <w:qFormat/>
    <w:uiPriority w:val="0"/>
    <w:rPr>
      <w:b/>
      <w:bCs/>
      <w:kern w:val="2"/>
      <w:sz w:val="21"/>
      <w:szCs w:val="24"/>
    </w:rPr>
  </w:style>
  <w:style w:type="character" w:customStyle="1" w:styleId="32">
    <w:name w:val="批注框文本 Char"/>
    <w:link w:val="10"/>
    <w:qFormat/>
    <w:uiPriority w:val="0"/>
    <w:rPr>
      <w:kern w:val="2"/>
      <w:sz w:val="18"/>
      <w:szCs w:val="18"/>
    </w:rPr>
  </w:style>
  <w:style w:type="character" w:customStyle="1" w:styleId="33">
    <w:name w:val="标题 3 Char"/>
    <w:link w:val="4"/>
    <w:qFormat/>
    <w:uiPriority w:val="0"/>
    <w:rPr>
      <w:b/>
      <w:bCs/>
      <w:kern w:val="2"/>
      <w:sz w:val="32"/>
      <w:szCs w:val="32"/>
    </w:rPr>
  </w:style>
  <w:style w:type="character" w:customStyle="1" w:styleId="34">
    <w:name w:val="标题 4 Char"/>
    <w:link w:val="5"/>
    <w:qFormat/>
    <w:uiPriority w:val="0"/>
    <w:rPr>
      <w:rFonts w:ascii="等线 Light" w:hAnsi="等线 Light" w:eastAsia="等线 Light" w:cs="Times New Roman"/>
      <w:b/>
      <w:bCs/>
      <w:kern w:val="2"/>
      <w:sz w:val="28"/>
      <w:szCs w:val="28"/>
    </w:rPr>
  </w:style>
  <w:style w:type="character" w:customStyle="1" w:styleId="35">
    <w:name w:val="正文首行缩进 Char"/>
    <w:basedOn w:val="28"/>
    <w:link w:val="17"/>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85BF1-80F8-4DDE-B320-C2153D356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1087</Words>
  <Characters>1150</Characters>
  <Paragraphs>54</Paragraphs>
  <TotalTime>18</TotalTime>
  <ScaleCrop>false</ScaleCrop>
  <LinksUpToDate>false</LinksUpToDate>
  <CharactersWithSpaces>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2021-08-03T03:40:00Z</dcterms:created>
  <dc:creator>博硕律师</dc:creator>
  <cp:lastModifiedBy>Reed</cp:lastModifiedBy>
  <cp:lastPrinted>2019-03-12T02:01:00Z</cp:lastPrinted>
  <dcterms:modified xsi:type="dcterms:W3CDTF">2022-10-18T02:34:49Z</dcterms:modified>
  <dc:title>目 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6ed3f0e7ccbc475ab4c5a1e77e77d86b</vt:lpwstr>
  </property>
  <property fmtid="{D5CDD505-2E9C-101B-9397-08002B2CF9AE}" pid="3" name="KSOProductBuildVer">
    <vt:lpwstr>2052-11.1.0.12598</vt:lpwstr>
  </property>
</Properties>
</file>